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67" w:hanging="0"/>
        <w:rPr>
          <w:rFonts w:cs="Arial"/>
          <w:szCs w:val="20"/>
          <w:lang w:val="sr-Latn-RS"/>
        </w:rPr>
      </w:pPr>
      <w:r>
        <w:rPr>
          <w:rFonts w:eastAsia="" w:cs="Arial" w:eastAsiaTheme="minorEastAsia"/>
          <w:b/>
          <w:color w:val="C0504D"/>
          <w:sz w:val="18"/>
          <w:szCs w:val="16"/>
          <w:lang w:val="sr-Latn-RS"/>
        </w:rPr>
        <w:t>VAŽNE INFORMACIJE ZA UGOVARAČA I OSIGURANIKE ZA KOLEKTIVNO OSIGURANJE UČENIKA</w:t>
      </w:r>
    </w:p>
    <w:p>
      <w:pPr>
        <w:pStyle w:val="Normal"/>
        <w:ind w:left="-1134" w:hanging="0"/>
        <w:jc w:val="both"/>
        <w:rPr>
          <w:rFonts w:cs="Arial"/>
          <w:sz w:val="18"/>
          <w:lang w:val="sr-Latn-RS"/>
        </w:rPr>
      </w:pPr>
      <w:r>
        <w:rPr>
          <w:rFonts w:cs="Arial"/>
          <w:sz w:val="18"/>
          <w:lang w:val="sr-Latn-RS"/>
        </w:rPr>
      </w:r>
    </w:p>
    <w:p>
      <w:pPr>
        <w:pStyle w:val="Normal"/>
        <w:ind w:left="-993" w:hanging="0"/>
        <w:jc w:val="both"/>
        <w:rPr>
          <w:rFonts w:cs="Arial"/>
          <w:sz w:val="18"/>
          <w:lang w:val="sr-Latn-RS"/>
        </w:rPr>
      </w:pPr>
      <w:r>
        <w:rPr>
          <w:rFonts w:cs="Arial"/>
          <w:b/>
          <w:color w:val="C0504D"/>
          <w:szCs w:val="20"/>
          <w:lang w:val="sr-Latn-RS"/>
        </w:rPr>
        <w:t>Poslovno ime, pravna forma, sedište i adresa društva za osiguranje</w:t>
      </w:r>
      <w:r>
        <w:rPr>
          <w:rFonts w:cs="Arial"/>
          <w:color w:val="C0504D"/>
          <w:szCs w:val="20"/>
          <w:lang w:val="sr-Latn-RS" w:eastAsia="en-US"/>
        </w:rPr>
        <w:t xml:space="preserve"> </w:t>
      </w:r>
    </w:p>
    <w:p>
      <w:pPr>
        <w:pStyle w:val="Normal"/>
        <w:ind w:left="-993" w:hanging="0"/>
        <w:jc w:val="both"/>
        <w:rPr>
          <w:rFonts w:cs="Arial"/>
          <w:szCs w:val="20"/>
          <w:lang w:val="sr-Latn-RS"/>
        </w:rPr>
      </w:pPr>
      <w:r>
        <w:rPr>
          <w:rFonts w:cs="Arial"/>
          <w:sz w:val="18"/>
          <w:lang w:val="sr-Latn-RS"/>
        </w:rPr>
        <w:t>Akcionarsko društvo za osiguranje GENERALI OSIGURANJE SRBIJA, Beograd, Sedište: Vladimira Popovića 8, 11000 Beograd.</w:t>
      </w:r>
    </w:p>
    <w:p>
      <w:pPr>
        <w:pStyle w:val="Normal"/>
        <w:ind w:left="-993" w:hanging="0"/>
        <w:jc w:val="both"/>
        <w:rPr>
          <w:rFonts w:cs="Arial"/>
          <w:b/>
          <w:b/>
          <w:color w:val="C0504D"/>
          <w:szCs w:val="20"/>
          <w:lang w:val="sr-Latn-RS"/>
        </w:rPr>
      </w:pPr>
      <w:r>
        <w:rPr>
          <w:rFonts w:cs="Arial"/>
          <w:b/>
          <w:color w:val="C0504D"/>
          <w:szCs w:val="20"/>
          <w:lang w:val="sr-Latn-RS"/>
        </w:rPr>
        <w:t>Uslovi osiguranja i merodavno pravo</w:t>
      </w:r>
    </w:p>
    <w:p>
      <w:pPr>
        <w:pStyle w:val="Normal"/>
        <w:ind w:left="-993" w:hanging="0"/>
        <w:jc w:val="both"/>
        <w:rPr>
          <w:rFonts w:cs="Arial"/>
          <w:color w:val="auto"/>
          <w:sz w:val="18"/>
          <w:lang w:val="sr-Latn-RS"/>
        </w:rPr>
      </w:pPr>
      <w:r>
        <w:rPr>
          <w:rFonts w:cs="Arial"/>
          <w:color w:val="auto"/>
          <w:sz w:val="18"/>
          <w:lang w:val="sr-Latn-RS"/>
        </w:rPr>
        <w:t>Zakon o obligacionim odnosima Republike Srbije, Opšti uslovi za osiguranje lica od posledica nesrećnog slučaja, Posebni uslovi za osiguranje učenika i studenata od posledica nesrećnog slučaja (nezgode). Za sporove iz ugovora o osiguranju nadležan je sud u Beogradu.</w:t>
      </w:r>
    </w:p>
    <w:p>
      <w:pPr>
        <w:pStyle w:val="Normal"/>
        <w:ind w:left="-993" w:hanging="0"/>
        <w:jc w:val="both"/>
        <w:rPr>
          <w:rFonts w:cs="Arial"/>
          <w:b/>
          <w:b/>
          <w:color w:val="C0504D"/>
          <w:szCs w:val="20"/>
          <w:lang w:val="sr-Latn-RS"/>
        </w:rPr>
      </w:pPr>
      <w:r>
        <w:rPr>
          <w:rFonts w:cs="Arial"/>
          <w:b/>
          <w:color w:val="C0504D"/>
          <w:szCs w:val="20"/>
          <w:lang w:val="sr-Latn-RS"/>
        </w:rPr>
        <w:t>Vreme važenja ugovora</w:t>
      </w:r>
    </w:p>
    <w:p>
      <w:pPr>
        <w:pStyle w:val="Normal"/>
        <w:ind w:left="-993" w:hanging="0"/>
        <w:jc w:val="both"/>
        <w:rPr>
          <w:rFonts w:cs="Arial"/>
          <w:b/>
          <w:b/>
          <w:color w:val="auto"/>
          <w:szCs w:val="20"/>
          <w:lang w:val="sr-Latn-RS"/>
        </w:rPr>
      </w:pPr>
      <w:r>
        <w:rPr>
          <w:rFonts w:cs="Arial"/>
          <w:color w:val="auto"/>
          <w:sz w:val="18"/>
          <w:lang w:val="sr-Latn-RS"/>
        </w:rPr>
        <w:t>Ugovor o osiguranju se zaključuje na određeno vreme za školsku 2019/2020 godinu.</w:t>
      </w:r>
    </w:p>
    <w:p>
      <w:pPr>
        <w:pStyle w:val="Normal"/>
        <w:ind w:left="-993" w:hanging="0"/>
        <w:jc w:val="both"/>
        <w:rPr>
          <w:rFonts w:cs="Arial"/>
          <w:b/>
          <w:b/>
          <w:color w:val="C0504D"/>
          <w:szCs w:val="20"/>
          <w:lang w:val="sr-Latn-RS"/>
        </w:rPr>
      </w:pPr>
      <w:r>
        <w:rPr>
          <w:rFonts w:cs="Arial"/>
          <w:b/>
          <w:color w:val="C0504D"/>
          <w:szCs w:val="20"/>
          <w:lang w:val="sr-Latn-RS"/>
        </w:rPr>
        <w:t>Rizici pokriveni osiguranjem i isključenja u vezi sa tim rizicima</w:t>
      </w:r>
    </w:p>
    <w:p>
      <w:pPr>
        <w:pStyle w:val="Normal"/>
        <w:ind w:left="-993" w:hanging="0"/>
        <w:jc w:val="both"/>
        <w:rPr>
          <w:rFonts w:cs="Arial"/>
          <w:color w:val="auto"/>
          <w:sz w:val="18"/>
          <w:lang w:val="sr-Latn-RS"/>
        </w:rPr>
      </w:pPr>
      <w:r>
        <w:rPr>
          <w:rFonts w:cs="Arial"/>
          <w:color w:val="auto"/>
          <w:sz w:val="18"/>
          <w:lang w:val="sr-Latn-RS"/>
        </w:rPr>
        <w:t>Ugovorom o osiguranju se mogu zaključiti sledeća pokrića:</w:t>
      </w:r>
    </w:p>
    <w:tbl>
      <w:tblPr>
        <w:tblStyle w:val="TableGrid"/>
        <w:tblW w:w="10634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3"/>
        <w:gridCol w:w="8080"/>
      </w:tblGrid>
      <w:tr>
        <w:trPr/>
        <w:tc>
          <w:tcPr>
            <w:tcW w:w="2553" w:type="dxa"/>
            <w:tcBorders/>
            <w:shd w:fill="auto" w:val="clear"/>
          </w:tcPr>
          <w:p>
            <w:pPr>
              <w:pStyle w:val="Normal"/>
              <w:jc w:val="center"/>
              <w:rPr>
                <w:rFonts w:cs="Arial"/>
                <w:b/>
                <w:b/>
                <w:color w:val="auto"/>
                <w:sz w:val="18"/>
                <w:lang w:val="sr-Latn-RS"/>
              </w:rPr>
            </w:pPr>
            <w:r>
              <w:rPr>
                <w:rFonts w:cs="Arial"/>
                <w:b/>
                <w:color w:val="auto"/>
                <w:sz w:val="16"/>
                <w:lang w:val="sr-Latn-RS"/>
              </w:rPr>
              <w:t>Pokrića</w:t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jc w:val="center"/>
              <w:rPr>
                <w:rFonts w:cs="Arial"/>
                <w:b/>
                <w:b/>
                <w:color w:val="auto"/>
                <w:sz w:val="18"/>
                <w:lang w:val="sr-Latn-RS"/>
              </w:rPr>
            </w:pPr>
            <w:r>
              <w:rPr>
                <w:rFonts w:cs="Arial"/>
                <w:b/>
                <w:color w:val="auto"/>
                <w:sz w:val="16"/>
                <w:lang w:val="sr-Latn-RS"/>
              </w:rPr>
              <w:t>Isključenja</w:t>
            </w:r>
          </w:p>
        </w:tc>
      </w:tr>
      <w:tr>
        <w:trPr>
          <w:trHeight w:val="313" w:hRule="atLeast"/>
        </w:trPr>
        <w:tc>
          <w:tcPr>
            <w:tcW w:w="255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6"/>
                <w:lang w:val="sr-Latn-RS"/>
              </w:rPr>
            </w:pPr>
            <w:r>
              <w:rPr>
                <w:rFonts w:cs="Arial"/>
                <w:color w:val="auto"/>
                <w:sz w:val="16"/>
                <w:lang w:val="sr-Latn-RS"/>
              </w:rPr>
              <w:t>Trajni Invaliditet</w:t>
            </w:r>
          </w:p>
        </w:tc>
        <w:tc>
          <w:tcPr>
            <w:tcW w:w="808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180" w:before="0" w:after="120"/>
              <w:jc w:val="center"/>
              <w:rPr>
                <w:rFonts w:cs="Arial"/>
                <w:color w:val="auto"/>
                <w:sz w:val="18"/>
                <w:lang w:val="sr-Latn-RS"/>
              </w:rPr>
            </w:pPr>
            <w:r>
              <w:rPr>
                <w:rFonts w:cs="Arial"/>
                <w:color w:val="auto"/>
                <w:sz w:val="16"/>
                <w:lang w:val="sr-Latn-RS"/>
              </w:rPr>
              <w:t>lsključene su sve obaveze osiguravača, ako je nesrećni slučaj nastao kao posledica: 1. prirodne katastrofe (zemljotresi, poplave i sl.), ratnih događaja, ustanka, terorističkog akta, pobuna, nemira ili nereda u Republici Srbiji ili aktivnog učešća u takvim događajima izvan granica Republike Srbije, kao i usled aktivnog učešća u oružanim akcijama, osim ako je osiguranik u tim događajima učestvovao po svom redovnom zanimanju; 2. pri upravljanju vazdušnim aparatima svih vrsta, plovnim objektima, motornim i drugim vozilima bez propisane službene isprave; 3. usled pokušaja ili izvršenja samoubistva osiguranika; 4. pri pripremanju, pokušaju ili izvršenju krivičnog dela, kao i pri begu posle takve radnje; 5. usled delovanja alkohola ili narkotičkih sredstava na osiguranika; 6. zbog aktivnog učestvovanja u fizičkom obračunu, osim u dokazanom slučaju samoodbrane; 7. kao posledica korišćenja lekova za koji ne postoji dozvola za stavljanje u promet, kao i za ne adekvatno korišćenje leka mimo uputsva za korišćenje;</w:t>
            </w:r>
          </w:p>
        </w:tc>
      </w:tr>
      <w:tr>
        <w:trPr>
          <w:trHeight w:val="285" w:hRule="atLeast"/>
        </w:trPr>
        <w:tc>
          <w:tcPr>
            <w:tcW w:w="255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6"/>
                <w:lang w:val="sr-Latn-RS"/>
              </w:rPr>
            </w:pPr>
            <w:r>
              <w:rPr>
                <w:rFonts w:cs="Arial"/>
                <w:color w:val="auto"/>
                <w:sz w:val="16"/>
                <w:lang w:val="sr-Latn-RS"/>
              </w:rPr>
              <w:t>Smrt usled nezgode</w:t>
            </w:r>
          </w:p>
        </w:tc>
        <w:tc>
          <w:tcPr>
            <w:tcW w:w="8080" w:type="dxa"/>
            <w:vMerge w:val="continue"/>
            <w:tcBorders/>
            <w:shd w:fill="auto" w:val="clear"/>
          </w:tcPr>
          <w:p>
            <w:pPr>
              <w:pStyle w:val="Normal"/>
              <w:jc w:val="both"/>
              <w:rPr>
                <w:rFonts w:cs="Arial"/>
                <w:color w:val="auto"/>
                <w:sz w:val="18"/>
                <w:lang w:val="sr-Latn-RS"/>
              </w:rPr>
            </w:pPr>
            <w:r>
              <w:rPr>
                <w:rFonts w:cs="Arial"/>
                <w:color w:val="auto"/>
                <w:sz w:val="18"/>
                <w:lang w:val="sr-Latn-RS"/>
              </w:rPr>
            </w:r>
          </w:p>
        </w:tc>
      </w:tr>
      <w:tr>
        <w:trPr>
          <w:trHeight w:val="307" w:hRule="atLeast"/>
        </w:trPr>
        <w:tc>
          <w:tcPr>
            <w:tcW w:w="255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6"/>
                <w:lang w:val="sr-Latn-RS"/>
              </w:rPr>
            </w:pPr>
            <w:r>
              <w:rPr>
                <w:rFonts w:cs="Arial"/>
                <w:color w:val="auto"/>
                <w:sz w:val="16"/>
                <w:lang w:val="sr-Latn-RS"/>
              </w:rPr>
              <w:t xml:space="preserve">Prelom kosti </w:t>
            </w:r>
          </w:p>
        </w:tc>
        <w:tc>
          <w:tcPr>
            <w:tcW w:w="8080" w:type="dxa"/>
            <w:vMerge w:val="continue"/>
            <w:tcBorders/>
            <w:shd w:fill="auto" w:val="clear"/>
          </w:tcPr>
          <w:p>
            <w:pPr>
              <w:pStyle w:val="Normal"/>
              <w:jc w:val="both"/>
              <w:rPr>
                <w:rFonts w:cs="Arial"/>
                <w:color w:val="auto"/>
                <w:sz w:val="18"/>
                <w:lang w:val="sr-Latn-RS"/>
              </w:rPr>
            </w:pPr>
            <w:r>
              <w:rPr>
                <w:rFonts w:cs="Arial"/>
                <w:color w:val="auto"/>
                <w:sz w:val="18"/>
                <w:lang w:val="sr-Latn-RS"/>
              </w:rPr>
            </w:r>
          </w:p>
        </w:tc>
      </w:tr>
      <w:tr>
        <w:trPr>
          <w:trHeight w:val="283" w:hRule="atLeast"/>
        </w:trPr>
        <w:tc>
          <w:tcPr>
            <w:tcW w:w="255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6"/>
                <w:lang w:val="sr-Latn-RS"/>
              </w:rPr>
            </w:pPr>
            <w:r>
              <w:rPr>
                <w:rFonts w:cs="Arial"/>
                <w:color w:val="auto"/>
                <w:sz w:val="16"/>
                <w:lang w:val="sr-Latn-RS"/>
              </w:rPr>
              <w:t>Dnevna naknada za izostanak sa nastave</w:t>
            </w:r>
          </w:p>
        </w:tc>
        <w:tc>
          <w:tcPr>
            <w:tcW w:w="8080" w:type="dxa"/>
            <w:vMerge w:val="continue"/>
            <w:tcBorders/>
            <w:shd w:fill="auto" w:val="clear"/>
          </w:tcPr>
          <w:p>
            <w:pPr>
              <w:pStyle w:val="Normal"/>
              <w:jc w:val="both"/>
              <w:rPr>
                <w:rFonts w:cs="Arial"/>
                <w:color w:val="auto"/>
                <w:sz w:val="18"/>
                <w:lang w:val="sr-Latn-RS"/>
              </w:rPr>
            </w:pPr>
            <w:r>
              <w:rPr>
                <w:rFonts w:cs="Arial"/>
                <w:color w:val="auto"/>
                <w:sz w:val="18"/>
                <w:lang w:val="sr-Latn-RS"/>
              </w:rPr>
            </w:r>
          </w:p>
        </w:tc>
      </w:tr>
      <w:tr>
        <w:trPr>
          <w:trHeight w:val="273" w:hRule="atLeast"/>
        </w:trPr>
        <w:tc>
          <w:tcPr>
            <w:tcW w:w="255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6"/>
                <w:lang w:val="sr-Latn-RS"/>
              </w:rPr>
            </w:pPr>
            <w:r>
              <w:rPr>
                <w:rFonts w:cs="Arial"/>
                <w:color w:val="auto"/>
                <w:sz w:val="16"/>
                <w:lang w:val="sr-Latn-RS"/>
              </w:rPr>
              <w:t>Troškovi lečenja</w:t>
            </w:r>
          </w:p>
        </w:tc>
        <w:tc>
          <w:tcPr>
            <w:tcW w:w="8080" w:type="dxa"/>
            <w:vMerge w:val="continue"/>
            <w:tcBorders/>
            <w:shd w:fill="auto" w:val="clear"/>
          </w:tcPr>
          <w:p>
            <w:pPr>
              <w:pStyle w:val="Normal"/>
              <w:jc w:val="both"/>
              <w:rPr>
                <w:rFonts w:cs="Arial"/>
                <w:color w:val="auto"/>
                <w:sz w:val="18"/>
                <w:lang w:val="sr-Latn-RS"/>
              </w:rPr>
            </w:pPr>
            <w:r>
              <w:rPr>
                <w:rFonts w:cs="Arial"/>
                <w:color w:val="auto"/>
                <w:sz w:val="18"/>
                <w:lang w:val="sr-Latn-RS"/>
              </w:rPr>
            </w:r>
          </w:p>
        </w:tc>
      </w:tr>
      <w:tr>
        <w:trPr>
          <w:trHeight w:val="263" w:hRule="atLeast"/>
        </w:trPr>
        <w:tc>
          <w:tcPr>
            <w:tcW w:w="255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6"/>
                <w:lang w:val="sr-Latn-RS"/>
              </w:rPr>
            </w:pPr>
            <w:r>
              <w:rPr>
                <w:rFonts w:cs="Arial"/>
                <w:color w:val="auto"/>
                <w:sz w:val="16"/>
                <w:lang w:val="sr-Latn-RS"/>
              </w:rPr>
              <w:t>Bolnički dan</w:t>
            </w:r>
          </w:p>
        </w:tc>
        <w:tc>
          <w:tcPr>
            <w:tcW w:w="8080" w:type="dxa"/>
            <w:vMerge w:val="continue"/>
            <w:tcBorders/>
            <w:shd w:fill="auto" w:val="clear"/>
          </w:tcPr>
          <w:p>
            <w:pPr>
              <w:pStyle w:val="Normal"/>
              <w:jc w:val="both"/>
              <w:rPr>
                <w:rFonts w:cs="Arial"/>
                <w:color w:val="auto"/>
                <w:sz w:val="18"/>
                <w:lang w:val="sr-Latn-RS"/>
              </w:rPr>
            </w:pPr>
            <w:r>
              <w:rPr>
                <w:rFonts w:cs="Arial"/>
                <w:color w:val="auto"/>
                <w:sz w:val="18"/>
                <w:lang w:val="sr-Latn-RS"/>
              </w:rPr>
            </w:r>
          </w:p>
        </w:tc>
      </w:tr>
      <w:tr>
        <w:trPr>
          <w:trHeight w:val="213" w:hRule="atLeast"/>
        </w:trPr>
        <w:tc>
          <w:tcPr>
            <w:tcW w:w="255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6"/>
                <w:lang w:val="sr-Latn-RS"/>
              </w:rPr>
            </w:pPr>
            <w:r>
              <w:rPr>
                <w:rFonts w:cs="Arial"/>
                <w:color w:val="auto"/>
                <w:sz w:val="16"/>
                <w:lang w:val="sr-Latn-RS"/>
              </w:rPr>
              <w:t>Hirurške intervencije</w:t>
            </w:r>
          </w:p>
        </w:tc>
        <w:tc>
          <w:tcPr>
            <w:tcW w:w="8080" w:type="dxa"/>
            <w:vMerge w:val="continue"/>
            <w:tcBorders/>
            <w:shd w:fill="auto" w:val="clear"/>
          </w:tcPr>
          <w:p>
            <w:pPr>
              <w:pStyle w:val="Normal"/>
              <w:jc w:val="both"/>
              <w:rPr>
                <w:rFonts w:cs="Arial"/>
                <w:color w:val="auto"/>
                <w:sz w:val="18"/>
                <w:lang w:val="sr-Latn-RS"/>
              </w:rPr>
            </w:pPr>
            <w:r>
              <w:rPr>
                <w:rFonts w:cs="Arial"/>
                <w:color w:val="auto"/>
                <w:sz w:val="18"/>
                <w:lang w:val="sr-Latn-RS"/>
              </w:rPr>
            </w:r>
          </w:p>
        </w:tc>
      </w:tr>
    </w:tbl>
    <w:p>
      <w:pPr>
        <w:pStyle w:val="Normal"/>
        <w:ind w:left="-993" w:hanging="0"/>
        <w:jc w:val="both"/>
        <w:rPr>
          <w:rFonts w:cs="Arial"/>
          <w:color w:val="auto"/>
          <w:sz w:val="18"/>
          <w:lang w:val="sr-Latn-RS"/>
        </w:rPr>
      </w:pPr>
      <w:r>
        <w:rPr>
          <w:rFonts w:cs="Arial"/>
          <w:color w:val="auto"/>
          <w:sz w:val="18"/>
          <w:lang w:val="sr-Latn-RS"/>
        </w:rPr>
        <w:t>Ako nesrećni slučaj ima za posledicu osiguranikovu prolaznu nesposobnost za pohađanje nastave koja traje najmanje 5 dana, isplaćuje se ugovoreni iznos dnevne naknade za sve dane trajanja privremene nesposobnosti u skladu sa izveštajem lekara, a najviše do 200 dana u toku jedne godine i bez obzira da li je nastupio trajni invaliditet ili ne.</w:t>
      </w:r>
    </w:p>
    <w:p>
      <w:pPr>
        <w:pStyle w:val="Normal"/>
        <w:ind w:left="-993" w:hanging="0"/>
        <w:jc w:val="both"/>
        <w:rPr>
          <w:rFonts w:cs="Arial"/>
          <w:sz w:val="18"/>
          <w:lang w:val="sr-Latn-RS"/>
        </w:rPr>
      </w:pPr>
      <w:r>
        <w:rPr>
          <w:rFonts w:cs="Arial"/>
          <w:b/>
          <w:color w:val="C0504D"/>
          <w:szCs w:val="20"/>
          <w:lang w:val="sr-Latn-RS"/>
        </w:rPr>
        <w:t>Pravo na raskid ugovora i odustanak od ugovora</w:t>
      </w:r>
    </w:p>
    <w:p>
      <w:pPr>
        <w:pStyle w:val="Normal"/>
        <w:spacing w:lineRule="auto" w:line="240"/>
        <w:ind w:left="-993" w:right="-1" w:hanging="0"/>
        <w:jc w:val="both"/>
        <w:rPr>
          <w:rFonts w:cs="Arial"/>
          <w:sz w:val="18"/>
          <w:lang w:val="sr-Latn-RS"/>
        </w:rPr>
      </w:pPr>
      <w:r>
        <w:rPr>
          <w:rFonts w:cs="Arial"/>
          <w:sz w:val="18"/>
          <w:lang w:val="sr-Latn-RS"/>
        </w:rPr>
        <w:t>Ugovor se ne može jednostrano raskinuti.</w:t>
      </w:r>
    </w:p>
    <w:p>
      <w:pPr>
        <w:pStyle w:val="Normal"/>
        <w:ind w:left="-993" w:hanging="0"/>
        <w:jc w:val="both"/>
        <w:rPr>
          <w:rFonts w:cs="Arial"/>
          <w:b/>
          <w:b/>
          <w:color w:val="C0504D"/>
          <w:szCs w:val="20"/>
          <w:lang w:val="sr-Latn-RS"/>
        </w:rPr>
      </w:pPr>
      <w:r>
        <w:rPr>
          <w:rFonts w:cs="Arial"/>
          <w:b/>
          <w:color w:val="C0504D"/>
          <w:szCs w:val="20"/>
          <w:lang w:val="sr-Latn-RS"/>
        </w:rPr>
        <w:t>Rok važenja ponude za osiguranje</w:t>
      </w:r>
    </w:p>
    <w:p>
      <w:pPr>
        <w:pStyle w:val="Normal"/>
        <w:tabs>
          <w:tab w:val="clear" w:pos="708"/>
          <w:tab w:val="left" w:pos="0" w:leader="none"/>
        </w:tabs>
        <w:ind w:left="-993" w:hanging="0"/>
        <w:jc w:val="both"/>
        <w:rPr>
          <w:rFonts w:cs="Arial"/>
          <w:b/>
          <w:b/>
          <w:szCs w:val="20"/>
          <w:lang w:val="sr-Latn-RS"/>
        </w:rPr>
      </w:pPr>
      <w:r>
        <w:rPr>
          <w:rFonts w:cs="Arial"/>
          <w:sz w:val="18"/>
          <w:lang w:val="sr-Latn-RS"/>
        </w:rPr>
        <w:t>Ponuda važi osam dana od momenta kada je primljena, osim u slučaju davanja neobavezujuće ponude.</w:t>
      </w:r>
    </w:p>
    <w:p>
      <w:pPr>
        <w:pStyle w:val="Normal"/>
        <w:ind w:left="-993" w:hanging="0"/>
        <w:jc w:val="both"/>
        <w:rPr>
          <w:rFonts w:cs="Arial"/>
          <w:b/>
          <w:b/>
          <w:color w:val="C0504D"/>
          <w:szCs w:val="20"/>
          <w:lang w:val="sr-Latn-RS"/>
        </w:rPr>
      </w:pPr>
      <w:r>
        <w:rPr>
          <w:rFonts w:cs="Arial"/>
          <w:b/>
          <w:color w:val="C0504D"/>
          <w:szCs w:val="20"/>
          <w:lang w:val="sr-Latn-RS"/>
        </w:rPr>
        <w:t xml:space="preserve">Podnošenje zahteva za isplatu osiguranog slučaja i rokovi </w:t>
      </w:r>
    </w:p>
    <w:p>
      <w:pPr>
        <w:pStyle w:val="Normal"/>
        <w:tabs>
          <w:tab w:val="clear" w:pos="708"/>
          <w:tab w:val="left" w:pos="426" w:leader="none"/>
        </w:tabs>
        <w:ind w:left="-993" w:hanging="0"/>
        <w:jc w:val="both"/>
        <w:rPr>
          <w:rFonts w:cs="Arial"/>
          <w:sz w:val="18"/>
          <w:lang w:val="sr-Latn-RS"/>
        </w:rPr>
      </w:pPr>
      <w:r>
        <w:rPr>
          <w:rFonts w:cs="Arial"/>
          <w:sz w:val="18"/>
          <w:lang w:val="sr-Latn-CS"/>
        </w:rPr>
        <w:t xml:space="preserve">Korisnik osiguranja je dužan da po nastanku nesrećnog slučaja o obavesti osiguravača u odmah a najkasnije u roku od tri dana i podnese zahtev za isplatu osigurane sume lično i na adresu sedišta osiguravača. </w:t>
      </w:r>
      <w:r>
        <w:rPr>
          <w:rFonts w:cs="Arial"/>
          <w:sz w:val="18"/>
          <w:lang w:val="sr-Latn-RS"/>
        </w:rPr>
        <w:t>Rok za isplatu osigurane sume  je 14 dana od dana prikupljanja kompletne dokumentacije koja se odnosi na dokazivanje nastanka osiguranog slučaja.</w:t>
      </w:r>
    </w:p>
    <w:p>
      <w:pPr>
        <w:pStyle w:val="Normal"/>
        <w:tabs>
          <w:tab w:val="clear" w:pos="708"/>
          <w:tab w:val="left" w:pos="426" w:leader="none"/>
        </w:tabs>
        <w:ind w:left="-993" w:hanging="0"/>
        <w:jc w:val="both"/>
        <w:rPr>
          <w:rFonts w:cs="Arial"/>
          <w:sz w:val="18"/>
          <w:lang w:val="sr-Latn-RS"/>
        </w:rPr>
      </w:pPr>
      <w:r>
        <w:rPr>
          <w:rFonts w:cs="Arial"/>
          <w:sz w:val="18"/>
          <w:lang w:val="sr-Latn-RS"/>
        </w:rPr>
        <w:t xml:space="preserve">Korisnik osiguranja nema pravo na naknadu troškova angažovanja advokata ukoliko ih bude imao prilikom prijave osiguranog slučaja ili ispunjenja bilo koje druge obaveze ili prava iz ugovora o osiguranju.  </w:t>
      </w:r>
    </w:p>
    <w:p>
      <w:pPr>
        <w:pStyle w:val="Normal"/>
        <w:tabs>
          <w:tab w:val="clear" w:pos="708"/>
          <w:tab w:val="left" w:pos="426" w:leader="none"/>
        </w:tabs>
        <w:ind w:left="-993" w:hanging="0"/>
        <w:jc w:val="both"/>
        <w:rPr>
          <w:rFonts w:cs="Arial"/>
          <w:sz w:val="18"/>
          <w:lang w:val="sr-Latn-RS"/>
        </w:rPr>
      </w:pPr>
      <w:r>
        <w:rPr>
          <w:rFonts w:cs="Arial"/>
          <w:sz w:val="18"/>
          <w:lang w:val="sr-Latn-RS"/>
        </w:rPr>
        <w:t xml:space="preserve">Potraživanja korisnika osiguranja  iz ugovora o osiguranju zastarevaju u roku od tri godine od prvog kalendarskog dana godine koja sledi godini u kojoj se desio osigurani slučaj. </w:t>
      </w:r>
    </w:p>
    <w:p>
      <w:pPr>
        <w:pStyle w:val="Normal"/>
        <w:ind w:left="-993" w:hanging="0"/>
        <w:jc w:val="both"/>
        <w:rPr>
          <w:rFonts w:cs="Arial"/>
          <w:color w:val="C0504D"/>
          <w:szCs w:val="20"/>
          <w:lang w:val="sr-Latn-RS"/>
        </w:rPr>
      </w:pPr>
      <w:r>
        <w:rPr>
          <w:rFonts w:cs="Arial"/>
          <w:b/>
          <w:color w:val="C0504D"/>
          <w:szCs w:val="20"/>
          <w:lang w:val="sr-Latn-RS"/>
        </w:rPr>
        <w:t>Način zaštite prava i interesa kod društva za osiguranje</w:t>
      </w:r>
    </w:p>
    <w:p>
      <w:pPr>
        <w:pStyle w:val="Normal"/>
        <w:ind w:left="-993" w:hanging="0"/>
        <w:jc w:val="both"/>
        <w:rPr>
          <w:rFonts w:cs="Arial"/>
          <w:sz w:val="18"/>
          <w:lang w:val="sr-Latn-RS"/>
        </w:rPr>
      </w:pPr>
      <w:r>
        <w:rPr>
          <w:rFonts w:cs="Arial"/>
          <w:sz w:val="18"/>
          <w:lang w:val="sr-Latn-RS"/>
        </w:rPr>
        <w:t>Sve prigovore zbog povrede prava ili interesa u vezi sa radom i postupanjem Osiguravača  ili odlučivanjem u vezi sa ugovorom o osiguranju ili njegovim izvršavanjem, klijent može podneti lično ili preko svog zastupnika, odnosno punomoćnika, u pismenoj fomi, na jedan od sledećih načina:</w:t>
      </w:r>
    </w:p>
    <w:p>
      <w:pPr>
        <w:pStyle w:val="ListParagraph"/>
        <w:numPr>
          <w:ilvl w:val="0"/>
          <w:numId w:val="1"/>
        </w:numPr>
        <w:ind w:left="-993" w:hanging="0"/>
        <w:jc w:val="both"/>
        <w:rPr>
          <w:rFonts w:cs="Arial"/>
          <w:sz w:val="18"/>
          <w:lang w:val="sr-Latn-RS"/>
        </w:rPr>
      </w:pPr>
      <w:r>
        <w:rPr>
          <w:rFonts w:cs="Arial"/>
          <w:sz w:val="18"/>
          <w:lang w:val="sr-Latn-RS"/>
        </w:rPr>
        <w:t>dolaskom u bilo koju prostoriju Osiguravača</w:t>
      </w:r>
    </w:p>
    <w:p>
      <w:pPr>
        <w:pStyle w:val="ListParagraph"/>
        <w:numPr>
          <w:ilvl w:val="0"/>
          <w:numId w:val="1"/>
        </w:numPr>
        <w:ind w:left="-993" w:hanging="0"/>
        <w:jc w:val="both"/>
        <w:rPr>
          <w:rFonts w:cs="Arial"/>
          <w:sz w:val="18"/>
          <w:lang w:val="sr-Latn-RS"/>
        </w:rPr>
      </w:pPr>
      <w:r>
        <w:rPr>
          <w:rFonts w:cs="Arial"/>
          <w:sz w:val="18"/>
          <w:lang w:val="sr-Latn-RS"/>
        </w:rPr>
        <w:t xml:space="preserve">slanjem prigovora poštom na adresu GENERALI OSIGURANJE SRBIJA a.d.o., Beograd, ul. </w:t>
      </w:r>
      <w:r>
        <w:rPr>
          <w:rFonts w:cs="Arial"/>
          <w:sz w:val="16"/>
          <w:lang w:val="sr-Latn-RS"/>
        </w:rPr>
        <w:t>Vladimira Popovića 8</w:t>
      </w:r>
      <w:r>
        <w:rPr>
          <w:rFonts w:cs="Arial"/>
          <w:sz w:val="18"/>
          <w:lang w:val="sr-Latn-RS"/>
        </w:rPr>
        <w:t>;</w:t>
      </w:r>
    </w:p>
    <w:p>
      <w:pPr>
        <w:pStyle w:val="ListParagraph"/>
        <w:numPr>
          <w:ilvl w:val="0"/>
          <w:numId w:val="1"/>
        </w:numPr>
        <w:ind w:left="-993" w:hanging="0"/>
        <w:jc w:val="both"/>
        <w:rPr/>
      </w:pPr>
      <w:r>
        <w:rPr>
          <w:rFonts w:cs="Arial"/>
          <w:sz w:val="18"/>
          <w:lang w:val="sr-Latn-RS"/>
        </w:rPr>
        <w:t xml:space="preserve">podnošenjem prigovora na internet stranici </w:t>
      </w:r>
      <w:hyperlink r:id="rId2">
        <w:r>
          <w:rPr>
            <w:rStyle w:val="ListLabel20"/>
            <w:rFonts w:cs="Arial"/>
            <w:lang w:val="sr-Latn-RS"/>
          </w:rPr>
          <w:t>www.generali.rs</w:t>
        </w:r>
      </w:hyperlink>
      <w:r>
        <w:rPr>
          <w:rFonts w:cs="Arial"/>
          <w:sz w:val="18"/>
          <w:lang w:val="sr-Latn-RS"/>
        </w:rPr>
        <w:t>;</w:t>
      </w:r>
    </w:p>
    <w:p>
      <w:pPr>
        <w:pStyle w:val="ListParagraph"/>
        <w:numPr>
          <w:ilvl w:val="0"/>
          <w:numId w:val="1"/>
        </w:numPr>
        <w:ind w:left="-993" w:hanging="0"/>
        <w:jc w:val="both"/>
        <w:rPr/>
      </w:pPr>
      <w:r>
        <w:rPr>
          <w:rFonts w:cs="Arial"/>
          <w:sz w:val="18"/>
          <w:lang w:val="sr-Latn-RS"/>
        </w:rPr>
        <w:t xml:space="preserve">slanjem prigovora u elektronskoj formi na imejl adresu </w:t>
      </w:r>
      <w:hyperlink r:id="rId3">
        <w:r>
          <w:rPr>
            <w:rStyle w:val="ListLabel20"/>
            <w:rFonts w:cs="Arial"/>
            <w:lang w:val="sr-Latn-RS"/>
          </w:rPr>
          <w:t>prigovori@generali.rs</w:t>
        </w:r>
      </w:hyperlink>
      <w:r>
        <w:rPr>
          <w:rFonts w:cs="Arial"/>
          <w:sz w:val="18"/>
          <w:lang w:val="sr-Latn-RS"/>
        </w:rPr>
        <w:t>;</w:t>
      </w:r>
    </w:p>
    <w:p>
      <w:pPr>
        <w:pStyle w:val="ListParagraph"/>
        <w:numPr>
          <w:ilvl w:val="0"/>
          <w:numId w:val="1"/>
        </w:numPr>
        <w:ind w:left="-993" w:hanging="0"/>
        <w:jc w:val="both"/>
        <w:rPr>
          <w:rFonts w:cs="Arial"/>
          <w:sz w:val="18"/>
          <w:lang w:val="sr-Latn-RS"/>
        </w:rPr>
      </w:pPr>
      <w:r>
        <w:rPr>
          <w:rFonts w:cs="Arial"/>
          <w:sz w:val="18"/>
          <w:lang w:val="sr-Latn-RS"/>
        </w:rPr>
        <w:t>slanjem prigovora faksom na broj +381 11 711 43 81.</w:t>
      </w:r>
    </w:p>
    <w:p>
      <w:pPr>
        <w:pStyle w:val="Normal"/>
        <w:ind w:left="-993" w:hanging="0"/>
        <w:jc w:val="both"/>
        <w:rPr>
          <w:rFonts w:cs="Arial"/>
          <w:sz w:val="18"/>
          <w:lang w:val="sr-Latn-RS"/>
        </w:rPr>
      </w:pPr>
      <w:r>
        <w:rPr>
          <w:rFonts w:cs="Arial"/>
          <w:sz w:val="18"/>
          <w:lang w:val="sr-Latn-RS"/>
        </w:rPr>
        <w:t>Potrebno je da prigovor sadrži sledeće podatke i dokumentaciju:</w:t>
      </w:r>
    </w:p>
    <w:p>
      <w:pPr>
        <w:pStyle w:val="ListParagraph"/>
        <w:numPr>
          <w:ilvl w:val="0"/>
          <w:numId w:val="1"/>
        </w:numPr>
        <w:ind w:left="-993" w:hanging="0"/>
        <w:jc w:val="both"/>
        <w:rPr>
          <w:rFonts w:cs="Arial"/>
          <w:sz w:val="18"/>
          <w:lang w:val="sr-Latn-RS"/>
        </w:rPr>
      </w:pPr>
      <w:r>
        <w:rPr>
          <w:rFonts w:cs="Arial"/>
          <w:sz w:val="18"/>
          <w:lang w:val="sr-Latn-RS"/>
        </w:rPr>
        <w:t>ime, prezime i adresu podnosioca prigovora (za fizička lica) ili poslovno ime, sedište i ime i prezime zakonskog zastupnika/ovlašćenog lica (za pravna lica);</w:t>
      </w:r>
    </w:p>
    <w:p>
      <w:pPr>
        <w:pStyle w:val="ListParagraph"/>
        <w:numPr>
          <w:ilvl w:val="0"/>
          <w:numId w:val="1"/>
        </w:numPr>
        <w:ind w:left="-993" w:hanging="0"/>
        <w:jc w:val="both"/>
        <w:rPr>
          <w:rFonts w:cs="Arial"/>
          <w:sz w:val="18"/>
          <w:lang w:val="sr-Latn-RS"/>
        </w:rPr>
      </w:pPr>
      <w:r>
        <w:rPr>
          <w:rFonts w:cs="Arial"/>
          <w:sz w:val="18"/>
          <w:lang w:val="sr-Latn-RS"/>
        </w:rPr>
        <w:t>razlog za prigovor i zahtev podnosioca;</w:t>
      </w:r>
    </w:p>
    <w:p>
      <w:pPr>
        <w:pStyle w:val="ListParagraph"/>
        <w:numPr>
          <w:ilvl w:val="0"/>
          <w:numId w:val="1"/>
        </w:numPr>
        <w:ind w:left="-993" w:hanging="0"/>
        <w:jc w:val="both"/>
        <w:rPr>
          <w:rFonts w:cs="Arial"/>
          <w:sz w:val="18"/>
          <w:lang w:val="sr-Latn-RS"/>
        </w:rPr>
      </w:pPr>
      <w:r>
        <w:rPr>
          <w:rFonts w:cs="Arial"/>
          <w:sz w:val="18"/>
          <w:lang w:val="sr-Latn-RS"/>
        </w:rPr>
        <w:t>dokaze kojima se potkrepljuju navodi iz prigovora;</w:t>
      </w:r>
    </w:p>
    <w:p>
      <w:pPr>
        <w:pStyle w:val="ListParagraph"/>
        <w:numPr>
          <w:ilvl w:val="0"/>
          <w:numId w:val="1"/>
        </w:numPr>
        <w:ind w:left="-993" w:hanging="0"/>
        <w:jc w:val="both"/>
        <w:rPr>
          <w:rFonts w:cs="Arial"/>
          <w:sz w:val="18"/>
          <w:lang w:val="sr-Latn-RS"/>
        </w:rPr>
      </w:pPr>
      <w:r>
        <w:rPr>
          <w:rFonts w:cs="Arial"/>
          <w:sz w:val="18"/>
          <w:lang w:val="sr-Latn-RS"/>
        </w:rPr>
        <w:t>datum podnošenja prigovora;</w:t>
      </w:r>
    </w:p>
    <w:p>
      <w:pPr>
        <w:pStyle w:val="ListParagraph"/>
        <w:numPr>
          <w:ilvl w:val="0"/>
          <w:numId w:val="1"/>
        </w:numPr>
        <w:ind w:left="-993" w:hanging="0"/>
        <w:jc w:val="both"/>
        <w:rPr>
          <w:rFonts w:cs="Arial"/>
          <w:sz w:val="18"/>
          <w:lang w:val="sr-Latn-RS"/>
        </w:rPr>
      </w:pPr>
      <w:r>
        <w:rPr>
          <w:rFonts w:cs="Arial"/>
          <w:sz w:val="18"/>
          <w:lang w:val="sr-Latn-RS"/>
        </w:rPr>
        <w:t>potpis podnosioca prigovora ili njegovog zastupnika ili punomoćnika, osim u slučaju da se prigovor podnosi u elektronskoj formi;</w:t>
      </w:r>
    </w:p>
    <w:p>
      <w:pPr>
        <w:pStyle w:val="ListParagraph"/>
        <w:numPr>
          <w:ilvl w:val="0"/>
          <w:numId w:val="1"/>
        </w:numPr>
        <w:ind w:left="-993" w:hanging="0"/>
        <w:jc w:val="both"/>
        <w:rPr>
          <w:rFonts w:cs="Arial"/>
          <w:sz w:val="18"/>
          <w:lang w:val="sr-Latn-RS"/>
        </w:rPr>
      </w:pPr>
      <w:r>
        <w:rPr>
          <w:rFonts w:cs="Arial"/>
          <w:sz w:val="18"/>
          <w:lang w:val="sr-Latn-RS"/>
        </w:rPr>
        <w:t>punomoćje za zastupanje ukoliko je prigovor podneo punomoćnik.</w:t>
      </w:r>
    </w:p>
    <w:p>
      <w:pPr>
        <w:pStyle w:val="Normal"/>
        <w:ind w:left="-993" w:hanging="0"/>
        <w:jc w:val="both"/>
        <w:rPr>
          <w:rFonts w:cs="Arial"/>
          <w:szCs w:val="20"/>
          <w:lang w:val="sr-Latn-RS"/>
        </w:rPr>
      </w:pPr>
      <w:r>
        <w:rPr>
          <w:rFonts w:cs="Arial"/>
          <w:sz w:val="18"/>
          <w:lang w:val="sr-Latn-RS"/>
        </w:rPr>
        <w:t>Osiguravač je u obavezi da odgovori na prigovor u roku od 15 dana, osim u posebnim slučajevima iz razloga koji ne zavise od volje Osiguravača, kada se rok može produžiti za najviše 15 dana, o čemu će podnosilac prigovora biti obavešten.</w:t>
      </w:r>
    </w:p>
    <w:p>
      <w:pPr>
        <w:pStyle w:val="Normal"/>
        <w:ind w:left="-993" w:hanging="0"/>
        <w:jc w:val="both"/>
        <w:rPr>
          <w:rFonts w:cs="Arial"/>
          <w:color w:val="C0504D"/>
          <w:szCs w:val="20"/>
          <w:lang w:val="sr-Latn-RS"/>
        </w:rPr>
      </w:pPr>
      <w:r>
        <w:rPr>
          <w:rFonts w:cs="Arial"/>
          <w:b/>
          <w:color w:val="C0504D"/>
          <w:szCs w:val="20"/>
          <w:lang w:val="sr-Latn-RS"/>
        </w:rPr>
        <w:t>Naziv, sedište i adresa organa nadležnog za nadzor nad poslovanjem društva za osiguranje, kao i način zaštite prava i interesa klijenta kod tog organa</w:t>
      </w:r>
    </w:p>
    <w:p>
      <w:pPr>
        <w:pStyle w:val="ListParagraph"/>
        <w:ind w:left="-993" w:hanging="0"/>
        <w:jc w:val="both"/>
        <w:rPr>
          <w:lang w:val="sr-Latn-RS"/>
        </w:rPr>
      </w:pPr>
      <w:r>
        <w:rPr>
          <w:rFonts w:cs="Arial"/>
          <w:sz w:val="18"/>
          <w:lang w:val="sr-Latn-RS"/>
        </w:rPr>
        <w:t>Ukoliko osiguranik nije zadovoljan odgovorom na prigovor, svoja prava može dalje ostvarivati podnošenjem prigovora Narodnoj banci Srbije, sa sedištem u ulici Kralja Petra br. 12, 11000 Beograd i ulici Nemanjina br. 17, 11000 Beograd, kao organu nadležnom za nadzor nad poslovanjem Osiguravača.</w:t>
      </w:r>
    </w:p>
    <w:p>
      <w:pPr>
        <w:pStyle w:val="ListParagraph"/>
        <w:ind w:left="-1134" w:hanging="0"/>
        <w:jc w:val="both"/>
        <w:rPr>
          <w:rFonts w:cs="Arial"/>
          <w:sz w:val="18"/>
          <w:lang w:val="sr-Latn-RS"/>
        </w:rPr>
      </w:pPr>
      <w:r>
        <w:rPr>
          <w:rFonts w:cs="Arial"/>
          <w:sz w:val="18"/>
          <w:lang w:val="sr-Latn-RS"/>
        </w:rPr>
      </w:r>
    </w:p>
    <w:p>
      <w:pPr>
        <w:pStyle w:val="Normal"/>
        <w:jc w:val="both"/>
        <w:rPr>
          <w:rFonts w:cs="Arial"/>
          <w:sz w:val="18"/>
          <w:lang w:val="sr-Latn-RS"/>
        </w:rPr>
      </w:pPr>
      <w:r>
        <w:rPr>
          <w:rFonts w:cs="Arial"/>
          <w:sz w:val="18"/>
          <w:lang w:val="sr-Latn-RS"/>
        </w:rPr>
      </w:r>
    </w:p>
    <w:p>
      <w:pPr>
        <w:pStyle w:val="ListParagraph"/>
        <w:ind w:left="-1134" w:hanging="0"/>
        <w:jc w:val="both"/>
        <w:rPr>
          <w:rFonts w:cs="Arial"/>
          <w:sz w:val="18"/>
          <w:lang w:val="sr-Latn-RS"/>
        </w:rPr>
      </w:pPr>
      <w:r>
        <w:rPr>
          <w:rFonts w:cs="Arial"/>
          <w:sz w:val="18"/>
          <w:lang w:val="sr-Latn-RS"/>
        </w:rPr>
        <w:t>______________________________</w:t>
        <w:tab/>
        <w:tab/>
        <w:t xml:space="preserve">                               </w:t>
        <w:tab/>
        <w:t>_____________________________</w:t>
      </w:r>
    </w:p>
    <w:p>
      <w:pPr>
        <w:pStyle w:val="ListParagraph"/>
        <w:ind w:left="-1134" w:firstLine="1134"/>
        <w:jc w:val="both"/>
        <w:rPr/>
      </w:pPr>
      <w:r>
        <w:rPr>
          <w:rFonts w:cs="Arial"/>
          <w:sz w:val="18"/>
          <w:lang w:val="sr-Latn-RS"/>
        </w:rPr>
        <w:t>Mesto i datum</w:t>
        <w:tab/>
        <w:tab/>
        <w:tab/>
        <w:tab/>
        <w:tab/>
        <w:tab/>
        <w:tab/>
        <w:t>Potpis ugovarača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560" w:right="707" w:header="567" w:top="1985" w:footer="414" w:bottom="851" w:gutter="0"/>
      <w:pgNumType w:fmt="decimal"/>
      <w:formProt w:val="false"/>
      <w:titlePg/>
      <w:textDirection w:val="lrTb"/>
      <w:docGrid w:type="default" w:linePitch="326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Regular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71" w:type="dxa"/>
      <w:jc w:val="left"/>
      <w:tblInd w:w="0" w:type="dxa"/>
      <w:tblBorders>
        <w:top w:val="single" w:sz="6" w:space="0" w:color="C21C1D"/>
      </w:tblBorders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7256"/>
      <w:gridCol w:w="1814"/>
    </w:tblGrid>
    <w:tr>
      <w:trPr>
        <w:trHeight w:val="907" w:hRule="atLeast"/>
      </w:trPr>
      <w:tc>
        <w:tcPr>
          <w:tcW w:w="7256" w:type="dxa"/>
          <w:tcBorders>
            <w:top w:val="single" w:sz="6" w:space="0" w:color="C21C1D"/>
          </w:tcBorders>
          <w:shd w:fill="auto" w:val="clear"/>
          <w:vAlign w:val="bottom"/>
        </w:tcPr>
        <w:p>
          <w:pPr>
            <w:pStyle w:val="Normal"/>
            <w:tabs>
              <w:tab w:val="clear" w:pos="708"/>
              <w:tab w:val="center" w:pos="4320" w:leader="none"/>
              <w:tab w:val="right" w:pos="8640" w:leader="none"/>
            </w:tabs>
            <w:spacing w:lineRule="exact" w:line="160" w:before="0" w:after="0"/>
            <w:contextualSpacing/>
            <w:rPr>
              <w:rFonts w:eastAsia="MS Mincho"/>
              <w:color w:val="5C5D5F"/>
              <w:sz w:val="12"/>
              <w:szCs w:val="12"/>
            </w:rPr>
          </w:pPr>
          <w:r>
            <w:rPr>
              <w:rFonts w:eastAsia="MS Mincho"/>
              <w:color w:val="5C5D5F"/>
              <w:sz w:val="12"/>
              <w:szCs w:val="12"/>
            </w:rPr>
            <w:t>Akcionarsko društvo za osiguranje GENERALI OSIGURANJE SRBIJA, Beograd, Vladimira Popovića 8</w:t>
          </w:r>
        </w:p>
        <w:p>
          <w:pPr>
            <w:pStyle w:val="Normal"/>
            <w:tabs>
              <w:tab w:val="clear" w:pos="708"/>
              <w:tab w:val="center" w:pos="4320" w:leader="none"/>
              <w:tab w:val="right" w:pos="8640" w:leader="none"/>
            </w:tabs>
            <w:spacing w:lineRule="exact" w:line="160" w:before="0" w:after="0"/>
            <w:contextualSpacing/>
            <w:rPr>
              <w:rFonts w:eastAsia="MS Mincho"/>
              <w:color w:val="5C5D5F"/>
              <w:sz w:val="12"/>
              <w:szCs w:val="12"/>
            </w:rPr>
          </w:pPr>
          <w:r>
            <w:rPr>
              <w:rFonts w:eastAsia="MS Mincho"/>
              <w:color w:val="5C5D5F"/>
              <w:sz w:val="12"/>
              <w:szCs w:val="12"/>
            </w:rPr>
            <w:t>Adresa za prijem pošte: Vladimira Popovića 8, Beograd, Novi Beograd</w:t>
          </w:r>
        </w:p>
        <w:p>
          <w:pPr>
            <w:pStyle w:val="Normal"/>
            <w:tabs>
              <w:tab w:val="clear" w:pos="708"/>
              <w:tab w:val="center" w:pos="4320" w:leader="none"/>
              <w:tab w:val="right" w:pos="8640" w:leader="none"/>
            </w:tabs>
            <w:spacing w:lineRule="exact" w:line="160" w:before="0" w:after="0"/>
            <w:contextualSpacing/>
            <w:rPr>
              <w:rFonts w:eastAsia="MS Mincho"/>
              <w:color w:val="5C5D5F"/>
              <w:sz w:val="12"/>
              <w:szCs w:val="12"/>
            </w:rPr>
          </w:pPr>
          <w:r>
            <w:rPr>
              <w:rFonts w:eastAsia="MS Mincho"/>
              <w:color w:val="5C5D5F"/>
              <w:sz w:val="12"/>
              <w:szCs w:val="12"/>
            </w:rPr>
            <w:t>Matični broj 17198319</w:t>
          </w:r>
        </w:p>
        <w:p>
          <w:pPr>
            <w:pStyle w:val="Normal"/>
            <w:tabs>
              <w:tab w:val="clear" w:pos="708"/>
              <w:tab w:val="center" w:pos="4320" w:leader="none"/>
              <w:tab w:val="right" w:pos="8640" w:leader="none"/>
            </w:tabs>
            <w:spacing w:lineRule="exact" w:line="160" w:before="0" w:after="0"/>
            <w:contextualSpacing/>
            <w:rPr>
              <w:rFonts w:eastAsia="MS Mincho"/>
              <w:color w:val="5C5D5F"/>
              <w:sz w:val="12"/>
              <w:szCs w:val="12"/>
            </w:rPr>
          </w:pPr>
          <w:r>
            <w:rPr>
              <w:rFonts w:eastAsia="MS Mincho"/>
              <w:color w:val="5C5D5F"/>
              <w:sz w:val="12"/>
              <w:szCs w:val="12"/>
            </w:rPr>
            <w:t>PIB 100001175</w:t>
          </w:r>
        </w:p>
        <w:p>
          <w:pPr>
            <w:pStyle w:val="Footer"/>
            <w:spacing w:lineRule="exact" w:line="160"/>
            <w:rPr/>
          </w:pPr>
          <w:r>
            <w:rPr/>
            <w:t>Društvo pripada Generali grupi upisanoj u Registar osiguravajućih grupa Italije koji vodi IVASS</w:t>
          </w:r>
        </w:p>
      </w:tc>
      <w:tc>
        <w:tcPr>
          <w:tcW w:w="1814" w:type="dxa"/>
          <w:tcBorders>
            <w:top w:val="single" w:sz="6" w:space="0" w:color="C21C1D"/>
          </w:tcBorders>
          <w:shd w:fill="auto" w:val="clear"/>
        </w:tcPr>
        <w:p>
          <w:pPr>
            <w:pStyle w:val="Footer"/>
            <w:rPr/>
          </w:pPr>
          <w:r>
            <w:rPr/>
            <w:drawing>
              <wp:anchor behindDoc="1" distT="0" distB="7620" distL="114300" distR="121920" simplePos="0" locked="0" layoutInCell="1" allowOverlap="1" relativeHeight="4">
                <wp:simplePos x="0" y="0"/>
                <wp:positionH relativeFrom="page">
                  <wp:posOffset>522605</wp:posOffset>
                </wp:positionH>
                <wp:positionV relativeFrom="page">
                  <wp:posOffset>94615</wp:posOffset>
                </wp:positionV>
                <wp:extent cx="449580" cy="449580"/>
                <wp:effectExtent l="0" t="0" r="0" b="0"/>
                <wp:wrapNone/>
                <wp:docPr id="3" name="Immagine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44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7620" distL="114300" distR="118110" simplePos="0" locked="0" layoutInCell="1" allowOverlap="1" relativeHeight="3">
          <wp:simplePos x="0" y="0"/>
          <wp:positionH relativeFrom="column">
            <wp:posOffset>-632460</wp:posOffset>
          </wp:positionH>
          <wp:positionV relativeFrom="page">
            <wp:posOffset>377825</wp:posOffset>
          </wp:positionV>
          <wp:extent cx="910590" cy="734695"/>
          <wp:effectExtent l="0" t="0" r="0" b="0"/>
          <wp:wrapNone/>
          <wp:docPr id="1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73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956" w:type="dxa"/>
      <w:jc w:val="left"/>
      <w:tblInd w:w="493" w:type="dxa"/>
      <w:tblBorders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4495"/>
      <w:gridCol w:w="2230"/>
      <w:gridCol w:w="2231"/>
    </w:tblGrid>
    <w:tr>
      <w:trPr>
        <w:trHeight w:val="1210" w:hRule="atLeast"/>
      </w:trPr>
      <w:tc>
        <w:tcPr>
          <w:tcW w:w="4495" w:type="dxa"/>
          <w:tcBorders/>
          <w:shd w:fill="auto" w:val="clear"/>
        </w:tcPr>
        <w:p>
          <w:pPr>
            <w:pStyle w:val="Header"/>
            <w:rPr>
              <w:rStyle w:val="StileGrassetto"/>
            </w:rPr>
          </w:pPr>
          <w:r>
            <w:rPr>
              <w:rStyle w:val="StileGrassetto"/>
            </w:rPr>
            <w:t>Generali Osiguranje Srbija a.d.o.</w:t>
          </w:r>
        </w:p>
        <w:p>
          <w:pPr>
            <w:pStyle w:val="Header"/>
            <w:rPr>
              <w:rStyle w:val="StileGrassetto"/>
              <w:b w:val="false"/>
              <w:b w:val="false"/>
            </w:rPr>
          </w:pPr>
          <w:r>
            <w:rPr>
              <w:rStyle w:val="StileGrassetto"/>
              <w:b w:val="false"/>
            </w:rPr>
            <w:t>Vladimira Popovića 8</w:t>
          </w:r>
        </w:p>
        <w:p>
          <w:pPr>
            <w:pStyle w:val="Header"/>
            <w:rPr>
              <w:rStyle w:val="StileGrassetto"/>
              <w:b w:val="false"/>
              <w:b w:val="false"/>
            </w:rPr>
          </w:pPr>
          <w:r>
            <w:rPr>
              <w:rStyle w:val="StileGrassetto"/>
              <w:b w:val="false"/>
            </w:rPr>
            <w:t>11070 Beograd / Srbija</w:t>
          </w:r>
        </w:p>
        <w:p>
          <w:pPr>
            <w:pStyle w:val="Header"/>
            <w:rPr>
              <w:rStyle w:val="StileGrassetto"/>
              <w:b w:val="false"/>
              <w:b w:val="false"/>
            </w:rPr>
          </w:pPr>
          <w:r>
            <w:rPr>
              <w:rStyle w:val="StileGrassetto"/>
              <w:b w:val="false"/>
            </w:rPr>
            <w:t>T +381.11.222.0.555</w:t>
          </w:r>
        </w:p>
        <w:p>
          <w:pPr>
            <w:pStyle w:val="Header"/>
            <w:rPr>
              <w:rStyle w:val="StileGrassetto"/>
              <w:b w:val="false"/>
              <w:b w:val="false"/>
              <w:lang w:val="en-US"/>
            </w:rPr>
          </w:pPr>
          <w:r>
            <w:rPr>
              <w:rStyle w:val="StileGrassetto"/>
              <w:b w:val="false"/>
              <w:lang w:val="en-US"/>
            </w:rPr>
            <w:t>F +381.11.711.43.81</w:t>
          </w:r>
        </w:p>
        <w:p>
          <w:pPr>
            <w:pStyle w:val="Header"/>
            <w:rPr>
              <w:rStyle w:val="StileGrassetto"/>
              <w:b w:val="false"/>
              <w:b w:val="false"/>
              <w:lang w:val="en-US"/>
            </w:rPr>
          </w:pPr>
          <w:r>
            <w:rPr>
              <w:rStyle w:val="StileGrassetto"/>
              <w:b w:val="false"/>
              <w:lang w:val="en-US"/>
            </w:rPr>
            <w:t>kontakt@generali.rs</w:t>
          </w:r>
        </w:p>
        <w:p>
          <w:pPr>
            <w:pStyle w:val="Header"/>
            <w:rPr>
              <w:rStyle w:val="StileGrassetto"/>
              <w:lang w:val="en-US"/>
            </w:rPr>
          </w:pPr>
          <w:r>
            <w:rPr>
              <w:rStyle w:val="StileGrassetto"/>
              <w:lang w:val="en-US"/>
            </w:rPr>
            <w:t>generali.rs</w:t>
          </w:r>
        </w:p>
      </w:tc>
      <w:tc>
        <w:tcPr>
          <w:tcW w:w="2230" w:type="dxa"/>
          <w:tcBorders/>
          <w:shd w:fill="auto" w:val="clear"/>
        </w:tcPr>
        <w:p>
          <w:pPr>
            <w:pStyle w:val="Header"/>
            <w:rPr>
              <w:lang w:val="en-US"/>
            </w:rPr>
          </w:pPr>
          <w:r>
            <w:rPr>
              <w:lang w:val="en-US"/>
            </w:rPr>
          </w:r>
        </w:p>
      </w:tc>
      <w:tc>
        <w:tcPr>
          <w:tcW w:w="2231" w:type="dxa"/>
          <w:tcBorders/>
          <w:shd w:fill="auto" w:val="clear"/>
        </w:tcPr>
        <w:p>
          <w:pPr>
            <w:pStyle w:val="Header"/>
            <w:jc w:val="right"/>
            <w:rPr/>
          </w:pPr>
          <w:r>
            <w:rPr>
              <w:rFonts w:cs="Arial"/>
            </w:rPr>
            <w:t>ZA (NZ UP 23) 08</w:t>
          </w:r>
          <w:bookmarkStart w:id="0" w:name="_GoBack"/>
          <w:bookmarkEnd w:id="0"/>
          <w:r>
            <w:rPr>
              <w:rFonts w:cs="Arial"/>
            </w:rPr>
            <w:t>-07</w:t>
          </w:r>
        </w:p>
      </w:tc>
    </w:tr>
  </w:tbl>
  <w:p>
    <w:pPr>
      <w:pStyle w:val="Header"/>
      <w:rPr/>
    </w:pPr>
    <w:r>
      <w:rPr/>
      <w:drawing>
        <wp:anchor behindDoc="1" distT="0" distB="7620" distL="114300" distR="118110" simplePos="0" locked="0" layoutInCell="1" allowOverlap="1" relativeHeight="2">
          <wp:simplePos x="0" y="0"/>
          <wp:positionH relativeFrom="column">
            <wp:posOffset>-670560</wp:posOffset>
          </wp:positionH>
          <wp:positionV relativeFrom="page">
            <wp:posOffset>377825</wp:posOffset>
          </wp:positionV>
          <wp:extent cx="910590" cy="734695"/>
          <wp:effectExtent l="0" t="0" r="0" b="0"/>
          <wp:wrapNone/>
          <wp:docPr id="2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73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Regular" w:hAnsi="Arial Regular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1" w:semiHidden="0" w:unhideWhenUsed="0" w:qFormat="1"/>
    <w:lsdException w:name="heading 3" w:uiPriority="1" w:semiHidden="0" w:unhideWhenUsed="0" w:qFormat="1"/>
    <w:lsdException w:name="heading 4" w:uiPriority="2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uiPriority="35" w:qFormat="1"/>
    <w:lsdException w:name="footnote reference" w:uiPriority="0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uiPriority="5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1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2" w:qFormat="1"/>
    <w:lsdException w:name="Intense Reference" w:uiPriority="33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25de"/>
    <w:pPr>
      <w:widowControl w:val="false"/>
      <w:bidi w:val="0"/>
      <w:spacing w:lineRule="exact" w:line="240"/>
      <w:jc w:val="left"/>
    </w:pPr>
    <w:rPr>
      <w:rFonts w:ascii="Arial" w:hAnsi="Arial" w:eastAsia="Times New Roman" w:cs="Times New Roman"/>
      <w:color w:val="000000"/>
      <w:kern w:val="0"/>
      <w:sz w:val="20"/>
      <w:szCs w:val="24"/>
      <w:lang w:val="it-IT" w:eastAsia="it-IT" w:bidi="ar-SA"/>
    </w:rPr>
  </w:style>
  <w:style w:type="paragraph" w:styleId="Heading1">
    <w:name w:val="Heading 1"/>
    <w:basedOn w:val="Normal"/>
    <w:next w:val="Normal"/>
    <w:uiPriority w:val="1"/>
    <w:qFormat/>
    <w:rsid w:val="006751ea"/>
    <w:pPr>
      <w:keepNext w:val="true"/>
      <w:keepLines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1"/>
    <w:qFormat/>
    <w:rsid w:val="006751ea"/>
    <w:pPr>
      <w:keepNext w:val="true"/>
      <w:keepLines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rsid w:val="006751ea"/>
    <w:pPr>
      <w:keepNext w:val="true"/>
      <w:keepLines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e16882"/>
    <w:pPr>
      <w:keepNext w:val="true"/>
      <w:keepLines/>
      <w:spacing w:before="200" w:after="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6751ea"/>
    <w:pPr>
      <w:keepNext w:val="true"/>
      <w:keepLines/>
      <w:spacing w:before="200" w:after="0"/>
      <w:outlineLvl w:val="4"/>
    </w:pPr>
    <w:rPr/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154db1"/>
    <w:pPr>
      <w:keepNext w:val="true"/>
      <w:keepLines/>
      <w:spacing w:before="200" w:after="0"/>
      <w:outlineLvl w:val="5"/>
    </w:pPr>
    <w:rPr>
      <w:iCs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154db1"/>
    <w:pPr>
      <w:keepNext w:val="true"/>
      <w:keepLines/>
      <w:spacing w:before="200" w:after="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db1"/>
    <w:pPr>
      <w:keepNext w:val="true"/>
      <w:keepLines/>
      <w:spacing w:before="200" w:after="0"/>
      <w:outlineLvl w:val="7"/>
    </w:pPr>
    <w:rPr/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db1"/>
    <w:pPr>
      <w:keepNext w:val="true"/>
      <w:keepLines/>
      <w:spacing w:before="200" w:after="0"/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>
    <w:name w:val="Footnote Characters"/>
    <w:semiHidden/>
    <w:qFormat/>
    <w:rsid w:val="006751ea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Pagenumber">
    <w:name w:val="page number"/>
    <w:basedOn w:val="DefaultParagraphFont"/>
    <w:semiHidden/>
    <w:qFormat/>
    <w:rsid w:val="006751ea"/>
    <w:rPr/>
  </w:style>
  <w:style w:type="character" w:styleId="Heading4Char" w:customStyle="1">
    <w:name w:val="Heading 4 Char"/>
    <w:link w:val="Heading4"/>
    <w:uiPriority w:val="2"/>
    <w:qFormat/>
    <w:rsid w:val="00e16882"/>
    <w:rPr>
      <w:rFonts w:eastAsia="Times New Roman" w:cs="Times New Roman"/>
      <w:bCs/>
      <w:iCs/>
    </w:rPr>
  </w:style>
  <w:style w:type="character" w:styleId="TitleChar" w:customStyle="1">
    <w:name w:val="Title Char"/>
    <w:link w:val="Title"/>
    <w:uiPriority w:val="10"/>
    <w:semiHidden/>
    <w:qFormat/>
    <w:rsid w:val="006751ea"/>
    <w:rPr>
      <w:rFonts w:eastAsia="Times New Roman" w:cs="Times New Roman"/>
      <w:b/>
      <w:smallCaps/>
      <w:spacing w:val="5"/>
      <w:kern w:val="2"/>
      <w:szCs w:val="52"/>
    </w:rPr>
  </w:style>
  <w:style w:type="character" w:styleId="Heading5Char" w:customStyle="1">
    <w:name w:val="Heading 5 Char"/>
    <w:link w:val="Heading5"/>
    <w:uiPriority w:val="2"/>
    <w:qFormat/>
    <w:rsid w:val="00e16882"/>
    <w:rPr>
      <w:rFonts w:eastAsia="Times New Roman" w:cs="Times New Roman"/>
    </w:rPr>
  </w:style>
  <w:style w:type="character" w:styleId="Heading6Char" w:customStyle="1">
    <w:name w:val="Heading 6 Char"/>
    <w:link w:val="Heading6"/>
    <w:uiPriority w:val="2"/>
    <w:semiHidden/>
    <w:qFormat/>
    <w:rsid w:val="00be45f6"/>
    <w:rPr>
      <w:rFonts w:eastAsia="Times New Roman" w:cs="Times New Roman"/>
      <w:iCs/>
    </w:rPr>
  </w:style>
  <w:style w:type="character" w:styleId="Heading7Char" w:customStyle="1">
    <w:name w:val="Heading 7 Char"/>
    <w:link w:val="Heading7"/>
    <w:uiPriority w:val="2"/>
    <w:semiHidden/>
    <w:qFormat/>
    <w:rsid w:val="00be45f6"/>
    <w:rPr>
      <w:rFonts w:eastAsia="Times New Roman" w:cs="Times New Roman"/>
      <w:iCs/>
    </w:rPr>
  </w:style>
  <w:style w:type="character" w:styleId="Heading8Char" w:customStyle="1">
    <w:name w:val="Heading 8 Char"/>
    <w:link w:val="Heading8"/>
    <w:uiPriority w:val="9"/>
    <w:semiHidden/>
    <w:qFormat/>
    <w:rsid w:val="00154db1"/>
    <w:rPr>
      <w:rFonts w:eastAsia="Times New Roman" w:cs="Times New Roman"/>
      <w:szCs w:val="20"/>
    </w:rPr>
  </w:style>
  <w:style w:type="character" w:styleId="Heading9Char" w:customStyle="1">
    <w:name w:val="Heading 9 Char"/>
    <w:link w:val="Heading9"/>
    <w:uiPriority w:val="9"/>
    <w:semiHidden/>
    <w:qFormat/>
    <w:rsid w:val="00154db1"/>
    <w:rPr>
      <w:rFonts w:eastAsia="Times New Roman" w:cs="Times New Roman"/>
      <w:i/>
      <w:iCs/>
      <w:szCs w:val="20"/>
    </w:rPr>
  </w:style>
  <w:style w:type="character" w:styleId="HeaderChar" w:customStyle="1">
    <w:name w:val="Header Char"/>
    <w:link w:val="Header"/>
    <w:uiPriority w:val="99"/>
    <w:qFormat/>
    <w:rsid w:val="006e2872"/>
    <w:rPr>
      <w:rFonts w:ascii="Arial" w:hAnsi="Arial"/>
      <w:color w:val="000000"/>
      <w:sz w:val="14"/>
    </w:rPr>
  </w:style>
  <w:style w:type="character" w:styleId="FooterChar" w:customStyle="1">
    <w:name w:val="Footer Char"/>
    <w:link w:val="Footer"/>
    <w:uiPriority w:val="99"/>
    <w:qFormat/>
    <w:rsid w:val="004f25e7"/>
    <w:rPr>
      <w:rFonts w:ascii="Arial" w:hAnsi="Arial" w:eastAsia="MS Mincho" w:cs="Times New Roman"/>
      <w:color w:val="5C5D5F"/>
      <w:sz w:val="12"/>
      <w:szCs w:val="12"/>
    </w:rPr>
  </w:style>
  <w:style w:type="character" w:styleId="InternetLink">
    <w:name w:val="Internet Link"/>
    <w:uiPriority w:val="99"/>
    <w:unhideWhenUsed/>
    <w:rsid w:val="00425627"/>
    <w:rPr>
      <w:color w:val="C21C1D"/>
      <w:u w:val="single"/>
    </w:rPr>
  </w:style>
  <w:style w:type="character" w:styleId="BoldCarattere" w:customStyle="1">
    <w:name w:val="Bold Carattere"/>
    <w:link w:val="Bold"/>
    <w:qFormat/>
    <w:rsid w:val="00425627"/>
    <w:rPr>
      <w:rFonts w:ascii="Arial" w:hAnsi="Arial"/>
      <w:b/>
      <w:color w:val="000000"/>
      <w:sz w:val="14"/>
    </w:rPr>
  </w:style>
  <w:style w:type="character" w:styleId="BalloonTextChar" w:customStyle="1">
    <w:name w:val="Balloon Text Char"/>
    <w:link w:val="BalloonText"/>
    <w:uiPriority w:val="99"/>
    <w:semiHidden/>
    <w:qFormat/>
    <w:rsid w:val="00425627"/>
    <w:rPr>
      <w:rFonts w:ascii="Tahoma" w:hAnsi="Tahoma" w:cs="Tahoma"/>
      <w:sz w:val="16"/>
      <w:szCs w:val="16"/>
    </w:rPr>
  </w:style>
  <w:style w:type="character" w:styleId="StileGrassetto" w:customStyle="1">
    <w:name w:val="Stile Grassetto"/>
    <w:qFormat/>
    <w:rsid w:val="006879e4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25707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d25707"/>
    <w:rPr>
      <w:rFonts w:ascii="Calibri" w:hAnsi="Calibri" w:eastAsia="Calibri" w:cs="" w:asciiTheme="minorHAnsi" w:cstheme="minorBidi" w:eastAsiaTheme="minorHAnsi" w:hAnsiTheme="minorHAnsi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372f57"/>
    <w:rPr>
      <w:rFonts w:ascii="Courier New" w:hAnsi="Courier New" w:eastAsia="Calibri" w:cs="Courier New" w:eastAsiaTheme="minorHAnsi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fe51f0"/>
    <w:rPr>
      <w:rFonts w:ascii="Arial" w:hAnsi="Arial" w:eastAsia="Calibri" w:cs="" w:cstheme="minorBidi" w:eastAsiaTheme="minorHAnsi"/>
      <w:b/>
      <w:bCs/>
      <w:color w:val="000000"/>
      <w:lang w:val="it-IT" w:eastAsia="it-IT"/>
    </w:rPr>
  </w:style>
  <w:style w:type="character" w:styleId="ListLabel1">
    <w:name w:val="ListLabel 1"/>
    <w:qFormat/>
    <w:rPr>
      <w:color w:val="BD2027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color w:val="FF0000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color w:val="FF0000"/>
    </w:rPr>
  </w:style>
  <w:style w:type="character" w:styleId="ListLabel16">
    <w:name w:val="ListLabel 16"/>
    <w:qFormat/>
    <w:rPr>
      <w:rFonts w:eastAsia="Times New Roman" w:cs="Aria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Arial"/>
      <w:lang w:val="sr-Latn-RS"/>
    </w:rPr>
  </w:style>
  <w:style w:type="character" w:styleId="ListLabel21">
    <w:name w:val="ListLabel 21"/>
    <w:qFormat/>
    <w:rPr>
      <w:rFonts w:cs="Symbol"/>
      <w:sz w:val="18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Arial"/>
      <w:lang w:val="sr-Latn-R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ts1">
    <w:name w:val="TOC 1"/>
    <w:basedOn w:val="Normal"/>
    <w:next w:val="Normal"/>
    <w:autoRedefine/>
    <w:semiHidden/>
    <w:rsid w:val="006751ea"/>
    <w:pPr>
      <w:tabs>
        <w:tab w:val="clear" w:pos="708"/>
        <w:tab w:val="left" w:pos="425" w:leader="none"/>
        <w:tab w:val="right" w:pos="8505" w:leader="dot"/>
      </w:tabs>
      <w:spacing w:before="80" w:after="40"/>
      <w:ind w:left="425" w:right="425" w:hanging="425"/>
    </w:pPr>
    <w:rPr/>
  </w:style>
  <w:style w:type="paragraph" w:styleId="Contents2">
    <w:name w:val="TOC 2"/>
    <w:basedOn w:val="Normal"/>
    <w:next w:val="Normal"/>
    <w:autoRedefine/>
    <w:semiHidden/>
    <w:rsid w:val="006751ea"/>
    <w:pPr>
      <w:tabs>
        <w:tab w:val="clear" w:pos="708"/>
        <w:tab w:val="left" w:pos="425" w:leader="none"/>
        <w:tab w:val="left" w:pos="851" w:leader="none"/>
        <w:tab w:val="right" w:pos="8505" w:leader="dot"/>
      </w:tabs>
      <w:spacing w:before="30" w:after="20"/>
      <w:ind w:left="850" w:right="425" w:hanging="425"/>
    </w:pPr>
    <w:rPr>
      <w:i/>
    </w:rPr>
  </w:style>
  <w:style w:type="paragraph" w:styleId="Contents3">
    <w:name w:val="TOC 3"/>
    <w:basedOn w:val="Normal"/>
    <w:next w:val="Normal"/>
    <w:autoRedefine/>
    <w:semiHidden/>
    <w:rsid w:val="006751ea"/>
    <w:pPr>
      <w:tabs>
        <w:tab w:val="clear" w:pos="708"/>
        <w:tab w:val="left" w:pos="1418" w:leader="none"/>
        <w:tab w:val="right" w:pos="8505" w:leader="dot"/>
      </w:tabs>
      <w:spacing w:before="20" w:after="20"/>
      <w:ind w:left="1418" w:right="425" w:hanging="567"/>
    </w:pPr>
    <w:rPr>
      <w:sz w:val="21"/>
    </w:rPr>
  </w:style>
  <w:style w:type="paragraph" w:styleId="Footnote">
    <w:name w:val="Footnote Text"/>
    <w:basedOn w:val="Normal"/>
    <w:semiHidden/>
    <w:rsid w:val="000e2410"/>
    <w:pPr/>
    <w:rPr/>
  </w:style>
  <w:style w:type="paragraph" w:styleId="Title">
    <w:name w:val="Title"/>
    <w:basedOn w:val="Normal"/>
    <w:next w:val="Normal"/>
    <w:link w:val="TitleChar"/>
    <w:uiPriority w:val="10"/>
    <w:semiHidden/>
    <w:qFormat/>
    <w:rsid w:val="006751ea"/>
    <w:pPr>
      <w:spacing w:before="0" w:after="0"/>
      <w:contextualSpacing/>
      <w:jc w:val="center"/>
    </w:pPr>
    <w:rPr>
      <w:b/>
      <w:smallCaps/>
      <w:spacing w:val="5"/>
      <w:kern w:val="2"/>
      <w:szCs w:val="52"/>
    </w:rPr>
  </w:style>
  <w:style w:type="paragraph" w:styleId="ListParagraph">
    <w:name w:val="List Paragraph"/>
    <w:basedOn w:val="Normal"/>
    <w:uiPriority w:val="34"/>
    <w:semiHidden/>
    <w:qFormat/>
    <w:rsid w:val="00be45f6"/>
    <w:pPr>
      <w:spacing w:before="0" w:after="0"/>
      <w:ind w:left="720" w:hanging="0"/>
      <w:contextualSpacing/>
    </w:pPr>
    <w:rPr/>
  </w:style>
  <w:style w:type="paragraph" w:styleId="Citazione1" w:customStyle="1">
    <w:name w:val="Citazione1"/>
    <w:basedOn w:val="Normal"/>
    <w:uiPriority w:val="2"/>
    <w:qFormat/>
    <w:rsid w:val="00be45f6"/>
    <w:pPr>
      <w:spacing w:before="240" w:after="0"/>
      <w:ind w:left="709" w:right="709" w:hanging="0"/>
    </w:pPr>
    <w:rPr>
      <w:sz w:val="22"/>
    </w:rPr>
  </w:style>
  <w:style w:type="paragraph" w:styleId="Citazionerientrata" w:customStyle="1">
    <w:name w:val="Citazione rientrata"/>
    <w:basedOn w:val="Citazione1"/>
    <w:uiPriority w:val="2"/>
    <w:qFormat/>
    <w:rsid w:val="00be45f6"/>
    <w:pPr>
      <w:ind w:left="1418" w:right="709" w:hanging="0"/>
    </w:pPr>
    <w:rPr/>
  </w:style>
  <w:style w:type="paragraph" w:styleId="TestoNumerato" w:customStyle="1">
    <w:name w:val="Testo Numerato"/>
    <w:basedOn w:val="Normal"/>
    <w:uiPriority w:val="2"/>
    <w:qFormat/>
    <w:rsid w:val="00be45f6"/>
    <w:pPr/>
    <w:rPr/>
  </w:style>
  <w:style w:type="paragraph" w:styleId="Header">
    <w:name w:val="Header"/>
    <w:basedOn w:val="Normal"/>
    <w:link w:val="HeaderChar"/>
    <w:uiPriority w:val="99"/>
    <w:unhideWhenUsed/>
    <w:qFormat/>
    <w:rsid w:val="006e2872"/>
    <w:pPr>
      <w:tabs>
        <w:tab w:val="clear" w:pos="708"/>
        <w:tab w:val="center" w:pos="4819" w:leader="none"/>
        <w:tab w:val="right" w:pos="9638" w:leader="none"/>
      </w:tabs>
      <w:spacing w:lineRule="exact" w:line="174"/>
    </w:pPr>
    <w:rPr>
      <w:sz w:val="14"/>
    </w:rPr>
  </w:style>
  <w:style w:type="paragraph" w:styleId="Footer">
    <w:name w:val="Footer"/>
    <w:basedOn w:val="Normal"/>
    <w:link w:val="FooterChar"/>
    <w:uiPriority w:val="99"/>
    <w:unhideWhenUsed/>
    <w:rsid w:val="004f25e7"/>
    <w:pPr>
      <w:tabs>
        <w:tab w:val="clear" w:pos="708"/>
        <w:tab w:val="center" w:pos="4320" w:leader="none"/>
        <w:tab w:val="right" w:pos="8640" w:leader="none"/>
      </w:tabs>
      <w:spacing w:lineRule="exact" w:line="160" w:before="0" w:after="0"/>
      <w:contextualSpacing/>
    </w:pPr>
    <w:rPr>
      <w:rFonts w:eastAsia="MS Mincho"/>
      <w:color w:val="5C5D5F"/>
      <w:sz w:val="12"/>
      <w:szCs w:val="12"/>
    </w:rPr>
  </w:style>
  <w:style w:type="paragraph" w:styleId="Bold" w:customStyle="1">
    <w:name w:val="Bold"/>
    <w:basedOn w:val="Header"/>
    <w:link w:val="BoldCarattere"/>
    <w:qFormat/>
    <w:rsid w:val="00425627"/>
    <w:pPr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25627"/>
    <w:pPr/>
    <w:rPr>
      <w:rFonts w:ascii="Tahoma" w:hAnsi="Tahoma" w:cs="Tahoma"/>
      <w:sz w:val="16"/>
      <w:szCs w:val="16"/>
    </w:rPr>
  </w:style>
  <w:style w:type="paragraph" w:styleId="Testobullet" w:customStyle="1">
    <w:name w:val="testo_bullet"/>
    <w:basedOn w:val="ListParagraph"/>
    <w:autoRedefine/>
    <w:qFormat/>
    <w:rsid w:val="003d51d3"/>
    <w:pPr>
      <w:spacing w:before="240" w:after="240"/>
      <w:ind w:left="714" w:hanging="357"/>
      <w:contextualSpacing/>
    </w:pPr>
    <w:rPr>
      <w:szCs w:val="18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d25707"/>
    <w:pPr>
      <w:widowControl/>
      <w:spacing w:lineRule="auto" w:line="240" w:before="0" w:after="200"/>
    </w:pPr>
    <w:rPr>
      <w:rFonts w:ascii="Calibri" w:hAnsi="Calibri" w:eastAsia="Calibri" w:cs="" w:asciiTheme="minorHAnsi" w:cstheme="minorBidi" w:eastAsiaTheme="minorHAnsi" w:hAnsiTheme="minorHAnsi"/>
      <w:color w:val="auto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372f57"/>
    <w:pPr>
      <w:widowControl/>
      <w:spacing w:lineRule="auto" w:line="240"/>
    </w:pPr>
    <w:rPr>
      <w:rFonts w:ascii="Courier New" w:hAnsi="Courier New" w:eastAsia="Calibri" w:cs="Courier New" w:eastAsiaTheme="minorHAnsi"/>
      <w:color w:val="auto"/>
      <w:szCs w:val="20"/>
      <w:lang w:val="en-US" w:eastAsia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fe51f0"/>
    <w:pPr>
      <w:widowControl w:val="false"/>
      <w:spacing w:before="0" w:after="0"/>
    </w:pPr>
    <w:rPr>
      <w:rFonts w:ascii="Arial" w:hAnsi="Arial" w:eastAsia="Times New Roman" w:cs="Times New Roman"/>
      <w:b/>
      <w:bCs/>
      <w:color w:val="000000"/>
      <w:lang w:val="it-IT" w:eastAsia="it-IT"/>
    </w:rPr>
  </w:style>
  <w:style w:type="paragraph" w:styleId="Revision">
    <w:name w:val="Revision"/>
    <w:uiPriority w:val="99"/>
    <w:semiHidden/>
    <w:qFormat/>
    <w:rsid w:val="00b51965"/>
    <w:pPr>
      <w:widowControl/>
      <w:bidi w:val="0"/>
      <w:jc w:val="left"/>
    </w:pPr>
    <w:rPr>
      <w:rFonts w:ascii="Arial" w:hAnsi="Arial" w:eastAsia="Times New Roman" w:cs="Times New Roman"/>
      <w:color w:val="000000"/>
      <w:kern w:val="0"/>
      <w:sz w:val="20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e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enerali.rs/" TargetMode="External"/><Relationship Id="rId3" Type="http://schemas.openxmlformats.org/officeDocument/2006/relationships/hyperlink" Target="mailto:prigovori@generali.rs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1A2E-C1AC-4658-9086-47C8C593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LibreOffice/6.1.5.2$Windows_X86_64 LibreOffice_project/90f8dcf33c87b3705e78202e3df5142b201bd805</Application>
  <Pages>2</Pages>
  <Words>841</Words>
  <Characters>4955</Characters>
  <CharactersWithSpaces>5773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2019-08-28T08:37:00Z</dcterms:created>
  <dc:creator/>
  <dc:description/>
  <dc:language>en-US</dc:language>
  <cp:lastModifiedBy/>
  <cp:lastPrinted>2019-09-19T14:21:27Z</cp:lastPrinted>
  <dcterms:modified xsi:type="dcterms:W3CDTF">2019-09-19T14:21:40Z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